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20"/>
      </w:pPr>
      <w:r>
        <w:rPr>
          <w:rFonts w:ascii="Cambria" w:cs="Cambria" w:eastAsia="Cambria" w:hAnsi="Cambria"/>
          <w:b/>
          <w:bCs/>
          <w:color w:val="00318B"/>
          <w:sz w:val="27"/>
          <w:szCs w:val="27"/>
        </w:rPr>
        <w:t xml:space="preserve">Call for Proposals: Concentrating Solar Thermal (CST) Technology for Indian Industry</w:t>
      </w:r>
    </w:p>
    <w:p>
      <w:pPr>
        <w:spacing w:after="130"/>
      </w:pPr>
      <w:r>
        <w:rPr>
          <w:rFonts w:ascii="Calibri" w:cs="Calibri" w:eastAsia="Calibri" w:hAnsi="Calibri"/>
          <w:b/>
          <w:bCs/>
          <w:color w:val="FF8200"/>
          <w:sz w:val="16"/>
          <w:szCs w:val="16"/>
        </w:rPr>
        <w:t xml:space="preserve">Opens 08.09.2026  |  Closes 07.10.2026</w:t>
      </w:r>
      <w:r>
        <w:rPr>
          <w:rFonts w:ascii="Calibri" w:cs="Calibri" w:eastAsia="Calibri" w:hAnsi="Calibri"/>
          <w:color w:val="1A1A1A"/>
          <w:sz w:val="16"/>
          <w:szCs w:val="16"/>
        </w:rPr>
        <w:t xml:space="preserve">   |   Under the RE-RTD Programme   |   Up to 50% VGF, max ₹2.00 crore/project</w:t>
      </w:r>
    </w:p>
    <w:tbl>
      <w:tblPr>
        <w:tblW w:type="dxa" w:w="11000"/>
        <w:tblBorders>
          <w:top w:val="single" w:color="auto" w:sz="4"/>
          <w:left w:val="single" w:color="auto" w:sz="4"/>
          <w:bottom w:val="single" w:color="auto" w:sz="4"/>
          <w:right w:val="single" w:color="auto" w:sz="4"/>
          <w:insideH w:val="single" w:color="auto" w:sz="4"/>
          <w:insideV w:val="single" w:color="auto" w:sz="4"/>
        </w:tblBorders>
      </w:tblPr>
      <w:tblGrid>
        <w:gridCol w:w="5500"/>
        <w:gridCol w:w="5500"/>
      </w:tblGrid>
      <w:tr>
        <w:tc>
          <w:tcPr>
            <w:tcW w:type="dxa" w:w="5500"/>
            <w:tcBorders>
              <w:top w:val="none" w:color="FFFFFF" w:sz="0"/>
              <w:left w:val="none" w:color="FFFFFF" w:sz="0"/>
              <w:bottom w:val="none" w:color="FFFFFF" w:sz="0"/>
              <w:right w:val="none" w:color="FFFFFF" w:sz="0"/>
            </w:tcBorders>
            <w:shd w:fill="DCE9F7"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OBJECTIVE</w:t>
            </w:r>
          </w:p>
          <w:p>
            <w:pPr>
              <w:spacing w:after="0"/>
            </w:pPr>
            <w:r>
              <w:rPr>
                <w:rFonts w:ascii="Calibri" w:cs="Calibri" w:eastAsia="Calibri" w:hAnsi="Calibri"/>
                <w:b w:val="false"/>
                <w:bCs w:val="false"/>
                <w:i w:val="false"/>
                <w:iCs w:val="false"/>
                <w:color w:val="1A1A1A"/>
                <w:sz w:val="16"/>
                <w:szCs w:val="16"/>
              </w:rPr>
              <w:t xml:space="preserve">Accelerate adoption of CST technology with Thermal Energy Storage (TES) for clean, reliable, sustainable industrial process heating, while building indigenous technology capability, under the RE-RTD Programme.</w:t>
            </w:r>
          </w:p>
        </w:tc>
        <w:tc>
          <w:tcPr>
            <w:tcW w:type="dxa" w:w="5500"/>
            <w:tcBorders>
              <w:top w:val="none" w:color="FFFFFF" w:sz="0"/>
              <w:left w:val="none" w:color="FFFFFF" w:sz="0"/>
              <w:bottom w:val="none" w:color="FFFFFF" w:sz="0"/>
              <w:right w:val="none" w:color="FFFFFF" w:sz="0"/>
            </w:tcBorders>
            <w:shd w:fill="EEF3FB"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PROBLEM STATEMENT</w:t>
            </w:r>
          </w:p>
          <w:p>
            <w:pPr>
              <w:spacing w:after="0"/>
            </w:pPr>
            <w:r>
              <w:rPr>
                <w:rFonts w:ascii="Calibri" w:cs="Calibri" w:eastAsia="Calibri" w:hAnsi="Calibri"/>
                <w:b w:val="false"/>
                <w:bCs w:val="false"/>
                <w:i w:val="false"/>
                <w:iCs w:val="false"/>
                <w:color w:val="1A1A1A"/>
                <w:sz w:val="16"/>
                <w:szCs w:val="16"/>
              </w:rPr>
              <w:t xml:space="preserve">Identify commercially viable, scalable solar thermal solutions. Pilots must integrate with existing industrial processes (with storage/hybrid systems) and prove technical feasibility, economic viability, scalability and replicability.</w:t>
            </w:r>
          </w:p>
        </w:tc>
      </w:tr>
    </w:tbl>
    <w:p>
      <w:pPr>
        <w:spacing w:after="90"/>
      </w:pPr>
      <w:r>
        <w:rPr>
          <w:sz w:val="4"/>
          <w:szCs w:val="4"/>
        </w:rPr>
        <w:t xml:space="preserve"/>
      </w:r>
    </w:p>
    <w:tbl>
      <w:tblPr>
        <w:tblW w:type="dxa" w:w="11000"/>
        <w:tblBorders>
          <w:top w:val="single" w:color="auto" w:sz="4"/>
          <w:left w:val="single" w:color="auto" w:sz="4"/>
          <w:bottom w:val="single" w:color="auto" w:sz="4"/>
          <w:right w:val="single" w:color="auto" w:sz="4"/>
          <w:insideH w:val="single" w:color="auto" w:sz="4"/>
          <w:insideV w:val="single" w:color="auto" w:sz="4"/>
        </w:tblBorders>
      </w:tblPr>
      <w:tblGrid>
        <w:gridCol w:w="5500"/>
        <w:gridCol w:w="5500"/>
      </w:tblGrid>
      <w:tr>
        <w:tc>
          <w:tcPr>
            <w:tcW w:type="dxa" w:w="5500"/>
            <w:tcBorders>
              <w:top w:val="none" w:color="FFFFFF" w:sz="0"/>
              <w:left w:val="none" w:color="FFFFFF" w:sz="0"/>
              <w:bottom w:val="none" w:color="FFFFFF" w:sz="0"/>
              <w:right w:val="none" w:color="FFFFFF" w:sz="0"/>
            </w:tcBorders>
            <w:shd w:fill="EEF3FB"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TECHNOLOGY SCOPE (INDICATIVE)</w:t>
            </w:r>
          </w:p>
          <w:p>
            <w:pPr>
              <w:spacing w:after="0"/>
            </w:pPr>
            <w:r>
              <w:rPr>
                <w:rFonts w:ascii="Calibri" w:cs="Calibri" w:eastAsia="Calibri" w:hAnsi="Calibri"/>
                <w:b w:val="false"/>
                <w:bCs w:val="false"/>
                <w:i w:val="false"/>
                <w:iCs w:val="false"/>
                <w:color w:val="1A1A1A"/>
                <w:sz w:val="16"/>
                <w:szCs w:val="16"/>
              </w:rPr>
              <w:t xml:space="preserve">Parabolic Trough (60–400°C), Linear Fresnel (60–250°C), Parabolic Dish (100–500°C), Power Tower (150–600°C), PV + Heat Pump (up to 90°C+), and CST with TES for continuous heat. Not exhaustive.</w:t>
            </w:r>
          </w:p>
        </w:tc>
        <w:tc>
          <w:tcPr>
            <w:tcW w:type="dxa" w:w="5500"/>
            <w:tcBorders>
              <w:top w:val="none" w:color="FFFFFF" w:sz="0"/>
              <w:left w:val="none" w:color="FFFFFF" w:sz="0"/>
              <w:bottom w:val="none" w:color="FFFFFF" w:sz="0"/>
              <w:right w:val="none" w:color="FFFFFF" w:sz="0"/>
            </w:tcBorders>
            <w:shd w:fill="DCE9F7"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SECTOR SCOPE (INDICATIVE)</w:t>
            </w:r>
          </w:p>
          <w:p>
            <w:pPr>
              <w:spacing w:after="0"/>
            </w:pPr>
            <w:r>
              <w:rPr>
                <w:rFonts w:ascii="Calibri" w:cs="Calibri" w:eastAsia="Calibri" w:hAnsi="Calibri"/>
                <w:b w:val="false"/>
                <w:bCs w:val="false"/>
                <w:i w:val="false"/>
                <w:iCs w:val="false"/>
                <w:color w:val="1A1A1A"/>
                <w:sz w:val="16"/>
                <w:szCs w:val="16"/>
              </w:rPr>
              <w:t xml:space="preserve">18 named sectors from Automotive to Hospitality (up to 90–1800°C), covering cleaning, drying, evaporation, distillation, pasteurisation, sterilisation, cooking, process heating, boiler feed water heating and cooling — plus any other Green Heat application.</w:t>
            </w:r>
          </w:p>
        </w:tc>
      </w:tr>
    </w:tbl>
    <w:p>
      <w:pPr>
        <w:spacing w:after="90"/>
      </w:pPr>
      <w:r>
        <w:rPr>
          <w:sz w:val="4"/>
          <w:szCs w:val="4"/>
        </w:rPr>
        <w:t xml:space="preserve"/>
      </w:r>
    </w:p>
    <w:tbl>
      <w:tblPr>
        <w:tblW w:type="dxa" w:w="11000"/>
        <w:tblBorders>
          <w:top w:val="single" w:color="auto" w:sz="4"/>
          <w:left w:val="single" w:color="auto" w:sz="4"/>
          <w:bottom w:val="single" w:color="auto" w:sz="4"/>
          <w:right w:val="single" w:color="auto" w:sz="4"/>
          <w:insideH w:val="single" w:color="auto" w:sz="4"/>
          <w:insideV w:val="single" w:color="auto" w:sz="4"/>
        </w:tblBorders>
      </w:tblPr>
      <w:tblGrid>
        <w:gridCol w:w="5500"/>
        <w:gridCol w:w="5500"/>
      </w:tblGrid>
      <w:tr>
        <w:tc>
          <w:tcPr>
            <w:tcW w:type="dxa" w:w="5500"/>
            <w:tcBorders>
              <w:top w:val="none" w:color="FFFFFF" w:sz="0"/>
              <w:left w:val="none" w:color="FFFFFF" w:sz="0"/>
              <w:bottom w:val="none" w:color="FFFFFF" w:sz="0"/>
              <w:right w:val="none" w:color="FFFFFF" w:sz="0"/>
            </w:tcBorders>
            <w:shd w:fill="DCE9F7"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WHO CAN APPLY</w:t>
            </w:r>
          </w:p>
          <w:p>
            <w:pPr>
              <w:spacing w:after="0"/>
            </w:pPr>
            <w:r>
              <w:rPr>
                <w:rFonts w:ascii="Calibri" w:cs="Calibri" w:eastAsia="Calibri" w:hAnsi="Calibri"/>
                <w:b w:val="false"/>
                <w:bCs w:val="false"/>
                <w:i w:val="false"/>
                <w:iCs w:val="false"/>
                <w:color w:val="1A1A1A"/>
                <w:sz w:val="16"/>
                <w:szCs w:val="16"/>
              </w:rPr>
              <w:t xml:space="preserve">Industries engaged in manufacture, development, deployment or utilisation of solar thermal technologies, including beneficiary industries in consortium mode — Technology Developers, System Integrators/EPCs, Start-ups, Industry Associations, Research Institutions, and MSMEs.</w:t>
            </w:r>
          </w:p>
        </w:tc>
        <w:tc>
          <w:tcPr>
            <w:tcW w:type="dxa" w:w="5500"/>
            <w:tcBorders>
              <w:top w:val="none" w:color="FFFFFF" w:sz="0"/>
              <w:left w:val="none" w:color="FFFFFF" w:sz="0"/>
              <w:bottom w:val="none" w:color="FFFFFF" w:sz="0"/>
              <w:right w:val="none" w:color="FFFFFF" w:sz="0"/>
            </w:tcBorders>
            <w:shd w:fill="EEF3FB"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FUNDING PATTERN</w:t>
            </w:r>
          </w:p>
          <w:p>
            <w:pPr>
              <w:spacing w:after="0"/>
            </w:pPr>
            <w:r>
              <w:rPr>
                <w:rFonts w:ascii="Calibri" w:cs="Calibri" w:eastAsia="Calibri" w:hAnsi="Calibri"/>
                <w:b w:val="false"/>
                <w:bCs w:val="false"/>
                <w:i w:val="false"/>
                <w:iCs w:val="false"/>
                <w:color w:val="1A1A1A"/>
                <w:sz w:val="16"/>
                <w:szCs w:val="16"/>
              </w:rPr>
              <w:t xml:space="preserve">Up to 50% of project cost as Viability Gap Funding (VGF), capped at ₹2.00 crore per project, depending on requirements and adoption potential. Eligible: Industry/Start-ups/Private Institutes/Entrepreneurs.</w:t>
            </w:r>
          </w:p>
        </w:tc>
      </w:tr>
    </w:tbl>
    <w:p>
      <w:pPr>
        <w:spacing w:after="90"/>
      </w:pPr>
      <w:r>
        <w:rPr>
          <w:sz w:val="4"/>
          <w:szCs w:val="4"/>
        </w:rPr>
        <w:t xml:space="preserve"/>
      </w:r>
    </w:p>
    <w:tbl>
      <w:tblPr>
        <w:tblW w:type="dxa" w:w="11000"/>
        <w:tblBorders>
          <w:top w:val="single" w:color="auto" w:sz="4"/>
          <w:left w:val="single" w:color="auto" w:sz="4"/>
          <w:bottom w:val="single" w:color="auto" w:sz="4"/>
          <w:right w:val="single" w:color="auto" w:sz="4"/>
          <w:insideH w:val="single" w:color="auto" w:sz="4"/>
          <w:insideV w:val="single" w:color="auto" w:sz="4"/>
        </w:tblBorders>
      </w:tblPr>
      <w:tblGrid>
        <w:gridCol w:w="5500"/>
        <w:gridCol w:w="5500"/>
      </w:tblGrid>
      <w:tr>
        <w:tc>
          <w:tcPr>
            <w:tcW w:type="dxa" w:w="5500"/>
            <w:tcBorders>
              <w:top w:val="none" w:color="FFFFFF" w:sz="0"/>
              <w:left w:val="none" w:color="FFFFFF" w:sz="0"/>
              <w:bottom w:val="none" w:color="FFFFFF" w:sz="0"/>
              <w:right w:val="none" w:color="FFFFFF" w:sz="0"/>
            </w:tcBorders>
            <w:shd w:fill="EEF3FB"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ACTIVITIES UNDER THE CALL</w:t>
            </w:r>
          </w:p>
          <w:p>
            <w:pPr>
              <w:spacing w:after="0"/>
            </w:pPr>
            <w:r>
              <w:rPr>
                <w:rFonts w:ascii="Calibri" w:cs="Calibri" w:eastAsia="Calibri" w:hAnsi="Calibri"/>
                <w:b w:val="false"/>
                <w:bCs w:val="false"/>
                <w:i w:val="false"/>
                <w:iCs w:val="false"/>
                <w:color w:val="1A1A1A"/>
                <w:sz w:val="16"/>
                <w:szCs w:val="16"/>
              </w:rPr>
              <w:t xml:space="preserve">(1) Cluster identification/prioritisation, (2) pilot/demo projects with 5-yr developer O&amp;M, (3) case-study documentation, (4) best-practice guidelines, (5) facilitating wider adoption and commercial deployment.</w:t>
            </w:r>
          </w:p>
        </w:tc>
        <w:tc>
          <w:tcPr>
            <w:tcW w:type="dxa" w:w="5500"/>
            <w:tcBorders>
              <w:top w:val="none" w:color="FFFFFF" w:sz="0"/>
              <w:left w:val="none" w:color="FFFFFF" w:sz="0"/>
              <w:bottom w:val="none" w:color="FFFFFF" w:sz="0"/>
              <w:right w:val="none" w:color="FFFFFF" w:sz="0"/>
            </w:tcBorders>
            <w:shd w:fill="DCE9F7" w:color="auto" w:val="clear"/>
            <w:tcMar>
              <w:top w:type="dxa" w:w="90"/>
              <w:left w:type="dxa" w:w="120"/>
              <w:bottom w:type="dxa" w:w="90"/>
              <w:right w:type="dxa" w:w="120"/>
            </w:tcMar>
            <w:vAlign w:val="top"/>
          </w:tcPr>
          <w:p>
            <w:pPr>
              <w:spacing w:after="40"/>
            </w:pPr>
            <w:r>
              <w:rPr>
                <w:rFonts w:ascii="Calibri" w:cs="Calibri" w:eastAsia="Calibri" w:hAnsi="Calibri"/>
                <w:b/>
                <w:bCs/>
                <w:color w:val="00318B"/>
                <w:sz w:val="15"/>
                <w:szCs w:val="15"/>
              </w:rPr>
              <w:t xml:space="preserve">ASSESSMENT &amp; SUBMISSION</w:t>
            </w:r>
          </w:p>
          <w:p>
            <w:pPr>
              <w:spacing w:after="0"/>
            </w:pPr>
            <w:r>
              <w:rPr>
                <w:rFonts w:ascii="Calibri" w:cs="Calibri" w:eastAsia="Calibri" w:hAnsi="Calibri"/>
                <w:b w:val="false"/>
                <w:bCs w:val="false"/>
                <w:i w:val="false"/>
                <w:iCs w:val="false"/>
                <w:color w:val="1A1A1A"/>
                <w:sz w:val="16"/>
                <w:szCs w:val="16"/>
              </w:rPr>
              <w:t xml:space="preserve">Assessed per RE-RTD Programme Guidelines (No. 223/90/2017-R&amp;D, dated 17.07.2026) by a dedicated committee. Submit online via research.mnre.gov.in/home.</w:t>
            </w:r>
          </w:p>
        </w:tc>
      </w:tr>
    </w:tbl>
    <w:p>
      <w:pPr>
        <w:spacing w:after="90"/>
      </w:pPr>
      <w:r>
        <w:rPr>
          <w:sz w:val="4"/>
          <w:szCs w:val="4"/>
        </w:rPr>
        <w:t xml:space="preserve"/>
      </w:r>
    </w:p>
    <w:p>
      <w:pPr>
        <w:spacing w:after="60" w:before="160"/>
      </w:pPr>
      <w:r>
        <w:rPr>
          <w:rFonts w:ascii="Calibri" w:cs="Calibri" w:eastAsia="Calibri" w:hAnsi="Calibri"/>
          <w:b/>
          <w:bCs/>
          <w:color w:val="FF8200"/>
          <w:sz w:val="17"/>
          <w:szCs w:val="17"/>
        </w:rPr>
        <w:t xml:space="preserve">KEY STAKEHOLDER ROLES</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MNRE — partial capex support (up to 50%), select/approve pilots, monitor progress and outcomes for scale-up.</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Industry Host/Beneficiary Unit — identifies site/application, provides land access and data, contributes cost share, supports monitoring.</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Solar Thermal Technology Provider/System Integrator — site assessment, design, installation, commissioning, training, and 5-year O&amp;M.</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Cluster/Industry Association and MSME/CII — outreach, beneficiary identification, stakeholder consultation, technology–industry matching.</w:t>
      </w:r>
    </w:p>
    <w:p>
      <w:pPr>
        <w:spacing w:after="60" w:before="160"/>
      </w:pPr>
      <w:r>
        <w:rPr>
          <w:rFonts w:ascii="Calibri" w:cs="Calibri" w:eastAsia="Calibri" w:hAnsi="Calibri"/>
          <w:b/>
          <w:bCs/>
          <w:color w:val="FF8200"/>
          <w:sz w:val="17"/>
          <w:szCs w:val="17"/>
        </w:rPr>
        <w:t xml:space="preserve">CONTACTS FOR CLARIFICATION</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Dr. Anil Kumar, Scientist-E — anil.kumar.mnre@nic.in</w:t>
      </w:r>
    </w:p>
    <w:p>
      <w:pPr>
        <w:spacing w:after="40"/>
        <w:ind w:left="200" w:hanging="150"/>
      </w:pPr>
      <w:r>
        <w:rPr>
          <w:b/>
          <w:bCs/>
          <w:color w:val="FF8200"/>
          <w:sz w:val="16"/>
          <w:szCs w:val="16"/>
        </w:rPr>
        <w:t xml:space="preserve">•  </w:t>
      </w:r>
      <w:r>
        <w:rPr>
          <w:rFonts w:ascii="Calibri" w:cs="Calibri" w:eastAsia="Calibri" w:hAnsi="Calibri"/>
          <w:color w:val="1A1A1A"/>
          <w:sz w:val="16"/>
          <w:szCs w:val="16"/>
        </w:rPr>
        <w:t xml:space="preserve">Mr. Sachin Meean, Scientist-C — sachin.mnre@gov.in</w:t>
      </w:r>
    </w:p>
    <w:sectPr>
      <w:headerReference w:type="default" r:id="rId7"/>
      <w:footerReference w:type="default" r:id="rId8"/>
      <w:pgSz w:w="12240" w:h="15840" w:orient="portrait"/>
      <w:pgMar w:top="520" w:right="560" w:bottom="520" w:left="5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Calibri" w:cs="Calibri" w:eastAsia="Calibri" w:hAnsi="Calibri"/>
        <w:i/>
        <w:iCs/>
        <w:color w:val="5A6472"/>
        <w:sz w:val="12"/>
        <w:szCs w:val="12"/>
      </w:rPr>
      <w:t xml:space="preserve">Compiled from the MNRE Call for Proposals document and public infographic on Concentrating Solar Thermal (CST) Technology for Indian Industry. For authoritative wording, refer to the official call document and research.mnre.gov.in/home.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Calibri" w:cs="Calibri" w:eastAsia="Calibri" w:hAnsi="Calibri"/>
        <w:b/>
        <w:bCs/>
        <w:color w:val="5A6472"/>
        <w:sz w:val="14"/>
        <w:szCs w:val="14"/>
      </w:rPr>
      <w:t xml:space="preserve">MINISTRY OF NEW AND RENEWABLE ENERGY  —  CALL FOR PROPOSALS ONE-PAGER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2026-09-12T15:59:04.272Z</dcterms:created>
  <dcterms:modified xsi:type="dcterms:W3CDTF">2026-09-12T15:59:04.272Z</dcterms:modified>
</cp:coreProperties>
</file>

<file path=docProps/custom.xml><?xml version="1.0" encoding="utf-8"?>
<Properties xmlns="http://schemas.openxmlformats.org/officeDocument/2006/custom-properties" xmlns:vt="http://schemas.openxmlformats.org/officeDocument/2006/docPropsVTypes"/>
</file>