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30" w:before="20" w:lineRule="auto"/>
        <w:rPr/>
      </w:pPr>
      <w:r w:rsidDel="00000000" w:rsidR="00000000" w:rsidRPr="00000000">
        <w:rPr>
          <w:rFonts w:ascii="Cambria" w:cs="Cambria" w:eastAsia="Cambria" w:hAnsi="Cambria"/>
          <w:b w:val="1"/>
          <w:bCs w:val="1"/>
          <w:color w:val="00318b"/>
          <w:sz w:val="30"/>
          <w:szCs w:val="30"/>
          <w:rtl w:val="0"/>
        </w:rPr>
        <w:t xml:space="preserve">Draft CERC (Indian Electricity Grid Code) (Second Amendment) Regulations,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4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ff8200"/>
          <w:sz w:val="18"/>
          <w:szCs w:val="18"/>
          <w:rtl w:val="0"/>
        </w:rPr>
        <w:t xml:space="preserve">Comments due 21.10.2026</w:t>
      </w:r>
      <w:r w:rsidDel="00000000" w:rsidR="00000000" w:rsidRPr="00000000">
        <w:rPr>
          <w:rFonts w:ascii="Calibri" w:cs="Calibri" w:eastAsia="Calibri" w:hAnsi="Calibri"/>
          <w:color w:val="1a1a1a"/>
          <w:sz w:val="18"/>
          <w:szCs w:val="18"/>
          <w:rtl w:val="0"/>
        </w:rPr>
        <w:t xml:space="preserve">   |   Draft dt 21.09.2026   |   Effective on Gazette publication; Para 16(B) from 01.04.2027</w:t>
      </w:r>
      <w:r w:rsidDel="00000000" w:rsidR="00000000" w:rsidRPr="00000000">
        <w:rPr>
          <w:rtl w:val="0"/>
        </w:rPr>
      </w:r>
    </w:p>
    <w:tbl>
      <w:tblPr>
        <w:tblStyle w:val="Table1"/>
        <w:tblW w:w="1100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500"/>
        <w:gridCol w:w="5500"/>
        <w:tblGridChange w:id="0">
          <w:tblGrid>
            <w:gridCol w:w="5500"/>
            <w:gridCol w:w="55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dce9f7" w:val="clear"/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spacing w:after="3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318b"/>
                <w:sz w:val="17"/>
                <w:szCs w:val="17"/>
                <w:rtl w:val="0"/>
              </w:rPr>
              <w:t xml:space="preserve">TRIAL RUN &amp; INFIRM POWER (REGS 19, 21, 22, 25A)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after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1a1a1a"/>
                <w:sz w:val="19"/>
                <w:szCs w:val="19"/>
                <w:rtl w:val="0"/>
              </w:rPr>
              <w:t xml:space="preserve">Trial-run notice 7→3 days. Solar/wind/ESS ≥250 MW may test in ≥50 MW instalments (no limit); standalone ESS min 50 MW, 50–250 MW balance in ≤3 instalments of ≥5 MW. RLDC may grant multiple infirm-power extensions up to 3 months cumulative (request ≥10 days ahead). Infirm power scheduled only after trial-run certificate; 7-day right of first offer to contracted buyers if PPA is silent.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ef3fb" w:val="clear"/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spacing w:after="3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318b"/>
                <w:sz w:val="17"/>
                <w:szCs w:val="17"/>
                <w:rtl w:val="0"/>
              </w:rPr>
              <w:t xml:space="preserve">PUMPED STORAGE &amp; COD (REGS 22(3)(F),(J), 24, 27)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spacing w:after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1a1a1a"/>
                <w:sz w:val="19"/>
                <w:szCs w:val="19"/>
                <w:rtl w:val="0"/>
              </w:rPr>
              <w:t xml:space="preserve">PSP trial run per unit; &gt;4 h cumulative interruption = repeat; low reservoir lets COD proceed, with later demonstration or de-rating from COD. COD of last unit = plant COD. Grid-Code COD delinked from PPA pre-conditions. Transmission-constrained plants: rated capacity within 1 yr of GNA effectiveness or COD, whichever later.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7">
      <w:pPr>
        <w:spacing w:after="70" w:lineRule="auto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100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500"/>
        <w:gridCol w:w="5500"/>
        <w:tblGridChange w:id="0">
          <w:tblGrid>
            <w:gridCol w:w="5500"/>
            <w:gridCol w:w="55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ef3fb" w:val="clear"/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spacing w:after="3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318b"/>
                <w:sz w:val="17"/>
                <w:szCs w:val="17"/>
                <w:rtl w:val="0"/>
              </w:rPr>
              <w:t xml:space="preserve">CONGESTION CHARGE (NEW REG 30A)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after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1a1a1a"/>
                <w:sz w:val="19"/>
                <w:szCs w:val="19"/>
                <w:rtl w:val="0"/>
              </w:rPr>
              <w:t xml:space="preserve">Levied on regional entities aggravating flow above TTC (warning at ATC; ≥2 clear blocks notice; withdrawn at ATC with 1 block notice). In addition to DSM. Wheeling regions with both corridors congested: any deviation charged. Weekly RPC statement; pay in 10 days; 0.04%/day interest. 2009 Congestion Regulations repealed; old rate/procedure continue till replaced.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dce9f7" w:val="clear"/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spacing w:after="3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318b"/>
                <w:sz w:val="17"/>
                <w:szCs w:val="17"/>
                <w:rtl w:val="0"/>
              </w:rPr>
              <w:t xml:space="preserve">THERMAL USD, SCUC &amp; PEAK DC (REGS 45–47, ANNEX-9)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after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1a1a1a"/>
                <w:sz w:val="19"/>
                <w:szCs w:val="19"/>
                <w:rtl w:val="0"/>
              </w:rPr>
              <w:t xml:space="preserve">USD intimation 14:30 D-1; beneficiaries retain units by 15:30 (≥50% MCR); USD declaration 16:00; final list 16:30; MTL top-up 17:00; final USD 18:00. Capacity charge continues on off-bar DC; failure to revive on schedule ≥ MTL = forced outage. NLDC may decommit any time. Peak-hour DC may not be below off-peak DC.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C">
      <w:pPr>
        <w:spacing w:after="70" w:lineRule="auto"/>
        <w:rPr/>
      </w:pPr>
      <w:r w:rsidDel="00000000" w:rsidR="00000000" w:rsidRPr="00000000">
        <w:rPr>
          <w:rtl w:val="0"/>
        </w:rPr>
      </w:r>
    </w:p>
    <w:tbl>
      <w:tblPr>
        <w:tblStyle w:val="Table3"/>
        <w:tblW w:w="1100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500"/>
        <w:gridCol w:w="5500"/>
        <w:tblGridChange w:id="0">
          <w:tblGrid>
            <w:gridCol w:w="5500"/>
            <w:gridCol w:w="55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dce9f7" w:val="clear"/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spacing w:after="3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318b"/>
                <w:sz w:val="17"/>
                <w:szCs w:val="17"/>
                <w:rtl w:val="0"/>
              </w:rPr>
              <w:t xml:space="preserve">DEFAULTING ENTITIES (NEW REG 45(16))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after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1a1a1a"/>
                <w:sz w:val="19"/>
                <w:szCs w:val="19"/>
                <w:rtl w:val="0"/>
              </w:rPr>
              <w:t xml:space="preserve">Default trigger date: 75 days after RPC account, or next working day after PSM lapse. Then T-GNA (incl. exchanges) cut entirely; after 2 more months GNA short-term cut; long-term access cut 5% per month. Restored within 1 day of payment. (RLDC Fees Regs use 1 month / 10%.)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ef3fb" w:val="clear"/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spacing w:after="3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318b"/>
                <w:sz w:val="17"/>
                <w:szCs w:val="17"/>
                <w:rtl w:val="0"/>
              </w:rPr>
              <w:t xml:space="preserve">FREE POWER &amp; RESERVES (REG 45(17), ANNEX-8, REG 30(11))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spacing w:after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1a1a1a"/>
                <w:sz w:val="19"/>
                <w:szCs w:val="19"/>
                <w:rtl w:val="0"/>
              </w:rPr>
              <w:t xml:space="preserve">State Govts may sell free-power share at CHGS bus bar under one RLDC Standing Clearance; in DSM pool at Normal Rate; no transmission charges/losses. Reserves estimated quarter-ahead for regional and state control areas; regional-entity bulk consumers share reserve obligations; ESS/PSP added to primary response.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1">
      <w:pPr>
        <w:spacing w:after="70" w:lineRule="auto"/>
        <w:rPr/>
      </w:pPr>
      <w:r w:rsidDel="00000000" w:rsidR="00000000" w:rsidRPr="00000000">
        <w:rPr>
          <w:rtl w:val="0"/>
        </w:rPr>
      </w:r>
    </w:p>
    <w:tbl>
      <w:tblPr>
        <w:tblStyle w:val="Table4"/>
        <w:tblW w:w="1100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500"/>
        <w:gridCol w:w="5500"/>
        <w:tblGridChange w:id="0">
          <w:tblGrid>
            <w:gridCol w:w="5500"/>
            <w:gridCol w:w="55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ef3fb" w:val="clear"/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spacing w:after="3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318b"/>
                <w:sz w:val="17"/>
                <w:szCs w:val="17"/>
                <w:rtl w:val="0"/>
              </w:rPr>
              <w:t xml:space="preserve">RTM GATE CLOSURE (REGS 48–49, PARA 16)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after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1a1a1a"/>
                <w:sz w:val="19"/>
                <w:szCs w:val="19"/>
                <w:rtl w:val="0"/>
              </w:rPr>
              <w:t xml:space="preserve">Phase-1 (to 31.03.2027): session 23:00–23:15 for 00:00 block; revision from 6th/7th block. Phase-2 (from 01.04.2027): 23:15–23:20 bidding, clearing to 23:30; revision from 5th/6th block. Final schedules 23:45 in both.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dce9f7" w:val="clear"/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spacing w:after="3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318b"/>
                <w:sz w:val="17"/>
                <w:szCs w:val="17"/>
                <w:rtl w:val="0"/>
              </w:rPr>
              <w:t xml:space="preserve">OTHER CHANGES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after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1a1a1a"/>
                <w:sz w:val="19"/>
                <w:szCs w:val="19"/>
                <w:rtl w:val="0"/>
              </w:rPr>
              <w:t xml:space="preserve">RPC may revise declared hydro high-inflow period. Alternate-source supply by non-Sec 62 stations needs buyer's express (standing) consent. Reactive energy interest from due date. New definitions: CHGS, congestion charge, default trigger date, REIA.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6">
      <w:pPr>
        <w:spacing w:after="7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60" w:before="10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ff8200"/>
          <w:sz w:val="19"/>
          <w:szCs w:val="19"/>
          <w:rtl w:val="0"/>
        </w:rPr>
        <w:t xml:space="preserve">HOW TO COMMENT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30" w:lineRule="auto"/>
        <w:ind w:left="200" w:hanging="150"/>
        <w:rPr/>
      </w:pPr>
      <w:r w:rsidDel="00000000" w:rsidR="00000000" w:rsidRPr="00000000">
        <w:rPr>
          <w:b w:val="1"/>
          <w:bCs w:val="1"/>
          <w:color w:val="ff8200"/>
          <w:sz w:val="17"/>
          <w:szCs w:val="17"/>
          <w:rtl w:val="0"/>
        </w:rPr>
        <w:t xml:space="preserve">•  </w:t>
      </w:r>
      <w:r w:rsidDel="00000000" w:rsidR="00000000" w:rsidRPr="00000000">
        <w:rPr>
          <w:rFonts w:ascii="Calibri" w:cs="Calibri" w:eastAsia="Calibri" w:hAnsi="Calibri"/>
          <w:color w:val="1a1a1a"/>
          <w:sz w:val="19"/>
          <w:szCs w:val="19"/>
          <w:rtl w:val="0"/>
        </w:rPr>
        <w:t xml:space="preserve">Email secy@cercind.gov.in and shilpa@cercind.gov.in on or before 21.10.2026; registered users may upload via SAUDAMINI (e-Regulation link).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30" w:lineRule="auto"/>
        <w:ind w:left="200" w:hanging="150"/>
        <w:rPr/>
      </w:pPr>
      <w:r w:rsidDel="00000000" w:rsidR="00000000" w:rsidRPr="00000000">
        <w:rPr>
          <w:b w:val="1"/>
          <w:bCs w:val="1"/>
          <w:color w:val="ff8200"/>
          <w:sz w:val="17"/>
          <w:szCs w:val="17"/>
          <w:rtl w:val="0"/>
        </w:rPr>
        <w:t xml:space="preserve">•  </w:t>
      </w:r>
      <w:r w:rsidDel="00000000" w:rsidR="00000000" w:rsidRPr="00000000">
        <w:rPr>
          <w:rFonts w:ascii="Calibri" w:cs="Calibri" w:eastAsia="Calibri" w:hAnsi="Calibri"/>
          <w:color w:val="1a1a1a"/>
          <w:sz w:val="19"/>
          <w:szCs w:val="19"/>
          <w:rtl w:val="0"/>
        </w:rPr>
        <w:t xml:space="preserve">Helpdesk: 011-20904365 Ext. 260 / 7042604928. Late comments may not be considered.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30" w:lineRule="auto"/>
        <w:ind w:left="200" w:hanging="150"/>
        <w:rPr/>
      </w:pPr>
      <w:r w:rsidDel="00000000" w:rsidR="00000000" w:rsidRPr="00000000">
        <w:rPr>
          <w:b w:val="1"/>
          <w:bCs w:val="1"/>
          <w:color w:val="ff8200"/>
          <w:sz w:val="17"/>
          <w:szCs w:val="17"/>
          <w:rtl w:val="0"/>
        </w:rPr>
        <w:t xml:space="preserve">•  </w:t>
      </w:r>
      <w:r w:rsidDel="00000000" w:rsidR="00000000" w:rsidRPr="00000000">
        <w:rPr>
          <w:rFonts w:ascii="Calibri" w:cs="Calibri" w:eastAsia="Calibri" w:hAnsi="Calibri"/>
          <w:color w:val="1a1a1a"/>
          <w:sz w:val="19"/>
          <w:szCs w:val="19"/>
          <w:rtl w:val="0"/>
        </w:rPr>
        <w:t xml:space="preserve">Ready-to-adapt comments letter, DIY worksheet and Comments Deck: powerppt.com → Submit Comments.</w:t>
      </w: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5840" w:w="12240" w:orient="portrait"/>
      <w:pgMar w:bottom="560" w:top="560" w:left="620" w:right="6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  <w:font w:name="Cambria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rPr/>
    </w:pPr>
    <w:r w:rsidDel="00000000" w:rsidR="00000000" w:rsidRPr="00000000">
      <w:rPr>
        <w:rFonts w:ascii="Calibri" w:cs="Calibri" w:eastAsia="Calibri" w:hAnsi="Calibri"/>
        <w:i w:val="1"/>
        <w:iCs w:val="1"/>
        <w:color w:val="5a6472"/>
        <w:sz w:val="13"/>
        <w:szCs w:val="13"/>
        <w:rtl w:val="0"/>
      </w:rPr>
      <w:t xml:space="preserve">Brought to you by powerppt.com • Prepared by Nambirajan K • Compiled from the Draft Notification, Explanatory Memorandum and Public Notice No. L-1/265/2022/CERC dt 21.09.2026. DRAFT — subject to change; refer to the CERC text for authoritative wording.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rPr/>
    </w:pPr>
    <w:r w:rsidDel="00000000" w:rsidR="00000000" w:rsidRPr="00000000">
      <w:rPr>
        <w:rFonts w:ascii="Calibri" w:cs="Calibri" w:eastAsia="Calibri" w:hAnsi="Calibri"/>
        <w:b w:val="1"/>
        <w:bCs w:val="1"/>
        <w:color w:val="5a6472"/>
        <w:sz w:val="15"/>
        <w:szCs w:val="15"/>
        <w:rtl w:val="0"/>
      </w:rPr>
      <w:t xml:space="preserve">CERC — REGULATORY ONE-PAGER  •  powerppt.com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/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1"/>
      <w:iCs w:val="1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