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20"/>
      </w:pPr>
      <w:r>
        <w:rPr>
          <w:rFonts w:ascii="Cambria" w:cs="Cambria" w:eastAsia="Cambria" w:hAnsi="Cambria"/>
          <w:b/>
          <w:bCs/>
          <w:color w:val="00318B"/>
          <w:sz w:val="27"/>
          <w:szCs w:val="27"/>
        </w:rPr>
        <w:t xml:space="preserve">Draft CERC (Sharing of Inter-State Transmission Charges and Losses) (Fifth Amendment) Regulations, 2026</w:t>
      </w:r>
    </w:p>
    <w:p>
      <w:pPr>
        <w:spacing w:after="130"/>
      </w:pPr>
      <w:r>
        <w:rPr>
          <w:rFonts w:ascii="Calibri" w:cs="Calibri" w:eastAsia="Calibri" w:hAnsi="Calibri"/>
          <w:b/>
          <w:bCs/>
          <w:color w:val="FF8200"/>
          <w:sz w:val="16"/>
          <w:szCs w:val="16"/>
        </w:rPr>
        <w:t xml:space="preserve">Comments due: 15.09.2026 (EXTENDED from 31.08.2026)</w:t>
      </w:r>
      <w:r>
        <w:rPr>
          <w:rFonts w:ascii="Calibri" w:cs="Calibri" w:eastAsia="Calibri" w:hAnsi="Calibri"/>
          <w:color w:val="1A1A1A"/>
          <w:sz w:val="16"/>
          <w:szCs w:val="16"/>
        </w:rPr>
        <w:t xml:space="preserve">   |   Draft published 31.07.2026   |   Amends the 2020 Principal Regulations (4 prior amendments)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5500"/>
        <w:gridCol w:w="5500"/>
      </w:tblGrid>
      <w:tr>
        <w:tc>
          <w:tcPr>
            <w:tcW w:type="dxa" w:w="5500"/>
            <w:tcBorders>
              <w:top w:val="none" w:color="FFFFFF" w:sz="0"/>
              <w:left w:val="none" w:color="FFFFFF" w:sz="0"/>
              <w:bottom w:val="none" w:color="FFFFFF" w:sz="0"/>
              <w:right w:val="none" w:color="FFFFFF" w:sz="0"/>
            </w:tcBorders>
            <w:shd w:fill="DCE9F7"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WHAT IT AMENDS &amp; WHY</w:t>
            </w:r>
          </w:p>
          <w:p>
            <w:pPr>
              <w:spacing w:after="0"/>
            </w:pPr>
            <w:r>
              <w:rPr>
                <w:rFonts w:ascii="Calibri" w:cs="Calibri" w:eastAsia="Calibri" w:hAnsi="Calibri"/>
                <w:b w:val="false"/>
                <w:bCs w:val="false"/>
                <w:i w:val="false"/>
                <w:iCs w:val="false"/>
                <w:color w:val="1A1A1A"/>
                <w:sz w:val="16"/>
                <w:szCs w:val="16"/>
              </w:rPr>
              <w:t xml:space="preserve">Amends the CERC (Sharing of ISTS Charges and Losses) Regulations, 2020 (notified 4.5.2020, effective 1.11.2020; amended 2023 ×3, 2025). Triggered by post-4th-Amendment stakeholder feedback (MNRE, IESA, Tata Power, Grid-India) and MoP OM dated 16.04.2026 on ISTS waiver for transmission-delayed RE projects. Legal basis: Section 178, Electricity Act 2003.</w:t>
            </w:r>
          </w:p>
        </w:tc>
        <w:tc>
          <w:tcPr>
            <w:tcW w:type="dxa" w:w="5500"/>
            <w:tcBorders>
              <w:top w:val="none" w:color="FFFFFF" w:sz="0"/>
              <w:left w:val="none" w:color="FFFFFF" w:sz="0"/>
              <w:bottom w:val="none" w:color="FFFFFF" w:sz="0"/>
              <w:right w:val="none" w:color="FFFFFF" w:sz="0"/>
            </w:tcBorders>
            <w:shd w:fill="EEF3FB"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HOW TO COMMENT</w:t>
            </w:r>
          </w:p>
          <w:p>
            <w:pPr>
              <w:spacing w:after="0"/>
            </w:pPr>
            <w:r>
              <w:rPr>
                <w:rFonts w:ascii="Calibri" w:cs="Calibri" w:eastAsia="Calibri" w:hAnsi="Calibri"/>
                <w:b w:val="false"/>
                <w:bCs w:val="false"/>
                <w:i w:val="false"/>
                <w:iCs w:val="false"/>
                <w:color w:val="1A1A1A"/>
                <w:sz w:val="16"/>
                <w:szCs w:val="16"/>
              </w:rPr>
              <w:t xml:space="preserve">Email secy@cercind.gov.in and shilpa@cercind.gov.in, or upload via the e-Regulation link on the SAUDAMINI e-filing Portal (registered users). SAUDAMINI helpdesk: 011-20904365 Ext. 260 / 7042604928. Comments after 15.09.2026 may not be considered.</w:t>
            </w:r>
          </w:p>
        </w:tc>
      </w:tr>
    </w:tbl>
    <w:p>
      <w:pPr>
        <w:spacing w:after="90"/>
      </w:pPr>
      <w:r>
        <w:rPr>
          <w:sz w:val="4"/>
          <w:szCs w:val="4"/>
        </w:rPr>
        <w:t xml:space="preserve"/>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5500"/>
        <w:gridCol w:w="5500"/>
      </w:tblGrid>
      <w:tr>
        <w:tc>
          <w:tcPr>
            <w:tcW w:type="dxa" w:w="5500"/>
            <w:tcBorders>
              <w:top w:val="none" w:color="FFFFFF" w:sz="0"/>
              <w:left w:val="none" w:color="FFFFFF" w:sz="0"/>
              <w:bottom w:val="none" w:color="FFFFFF" w:sz="0"/>
              <w:right w:val="none" w:color="FFFFFF" w:sz="0"/>
            </w:tcBorders>
            <w:shd w:fill="EEF3FB"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BESS WAIVER TENURE (REG. 13(2)(A))</w:t>
            </w:r>
          </w:p>
          <w:p>
            <w:pPr>
              <w:spacing w:after="0"/>
            </w:pPr>
            <w:r>
              <w:rPr>
                <w:rFonts w:ascii="Calibri" w:cs="Calibri" w:eastAsia="Calibri" w:hAnsi="Calibri"/>
                <w:b w:val="false"/>
                <w:bCs w:val="false"/>
                <w:i w:val="false"/>
                <w:iCs w:val="false"/>
                <w:color w:val="1A1A1A"/>
                <w:sz w:val="16"/>
                <w:szCs w:val="16"/>
              </w:rPr>
              <w:t xml:space="preserve">Where Connectivity/GNA classifies storage as an integral part of a single REGS/RHGS entity, the BESS's energy gets the full 25-year waiver measured from the REGS's COD — not the separate 12-year Battery ESS tenure. Standalone/later-added BESS still gets 12 years.</w:t>
            </w:r>
          </w:p>
        </w:tc>
        <w:tc>
          <w:tcPr>
            <w:tcW w:type="dxa" w:w="5500"/>
            <w:tcBorders>
              <w:top w:val="none" w:color="FFFFFF" w:sz="0"/>
              <w:left w:val="none" w:color="FFFFFF" w:sz="0"/>
              <w:bottom w:val="none" w:color="FFFFFF" w:sz="0"/>
              <w:right w:val="none" w:color="FFFFFF" w:sz="0"/>
            </w:tcBorders>
            <w:shd w:fill="DCE9F7"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BESS MULTI-CYCLE CHARGING (REG. 13(2)(B)(II))</w:t>
            </w:r>
          </w:p>
          <w:p>
            <w:pPr>
              <w:spacing w:after="0"/>
            </w:pPr>
            <w:r>
              <w:rPr>
                <w:rFonts w:ascii="Calibri" w:cs="Calibri" w:eastAsia="Calibri" w:hAnsi="Calibri"/>
                <w:b w:val="false"/>
                <w:bCs w:val="false"/>
                <w:i w:val="false"/>
                <w:iCs w:val="false"/>
                <w:color w:val="1A1A1A"/>
                <w:sz w:val="16"/>
                <w:szCs w:val="16"/>
              </w:rPr>
              <w:t xml:space="preserve">New proviso allows a single BESS to be assessed cycle-by-cycle: a cycle charged from the co-located REGS keeps the 100% slab (Table 2 S.No.1); a separate cycle charged from elsewhere gets the graded slab (S.No.2). NLDC must issue an accounting procedure under Reg. 24(5) before this is operable.</w:t>
            </w:r>
          </w:p>
        </w:tc>
      </w:tr>
    </w:tbl>
    <w:p>
      <w:pPr>
        <w:spacing w:after="90"/>
      </w:pPr>
      <w:r>
        <w:rPr>
          <w:sz w:val="4"/>
          <w:szCs w:val="4"/>
        </w:rPr>
        <w:t xml:space="preserve"/>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5500"/>
        <w:gridCol w:w="5500"/>
      </w:tblGrid>
      <w:tr>
        <w:tc>
          <w:tcPr>
            <w:tcW w:type="dxa" w:w="5500"/>
            <w:tcBorders>
              <w:top w:val="none" w:color="FFFFFF" w:sz="0"/>
              <w:left w:val="none" w:color="FFFFFF" w:sz="0"/>
              <w:bottom w:val="none" w:color="FFFFFF" w:sz="0"/>
              <w:right w:val="none" w:color="FFFFFF" w:sz="0"/>
            </w:tcBorders>
            <w:shd w:fill="DCE9F7"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G-DAM TOWARD THE 51% TEST (REG. 13(2)(C))</w:t>
            </w:r>
          </w:p>
          <w:p>
            <w:pPr>
              <w:spacing w:after="0"/>
            </w:pPr>
            <w:r>
              <w:rPr>
                <w:rFonts w:ascii="Calibri" w:cs="Calibri" w:eastAsia="Calibri" w:hAnsi="Calibri"/>
                <w:b w:val="false"/>
                <w:bCs w:val="false"/>
                <w:i w:val="false"/>
                <w:iCs w:val="false"/>
                <w:color w:val="1A1A1A"/>
                <w:sz w:val="16"/>
                <w:szCs w:val="16"/>
              </w:rPr>
              <w:t xml:space="preserve">Green Day-Ahead Market purchases now count toward an ESS's 51% RE-charging requirement, provided the ESS produces a Power Exchange certificate showing the wind/solar/other source-wise breakup — mainly benefits large Hydro PSPs (1000+ MW) that can't tie up matching dedicated RE capacity.</w:t>
            </w:r>
          </w:p>
        </w:tc>
        <w:tc>
          <w:tcPr>
            <w:tcW w:type="dxa" w:w="5500"/>
            <w:tcBorders>
              <w:top w:val="none" w:color="FFFFFF" w:sz="0"/>
              <w:left w:val="none" w:color="FFFFFF" w:sz="0"/>
              <w:bottom w:val="none" w:color="FFFFFF" w:sz="0"/>
              <w:right w:val="none" w:color="FFFFFF" w:sz="0"/>
            </w:tcBorders>
            <w:shd w:fill="EEF3FB"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PSP CONTRACT-WISE 51% (REG. 13(2)(C))</w:t>
            </w:r>
          </w:p>
          <w:p>
            <w:pPr>
              <w:spacing w:after="0"/>
            </w:pPr>
            <w:r>
              <w:rPr>
                <w:rFonts w:ascii="Calibri" w:cs="Calibri" w:eastAsia="Calibri" w:hAnsi="Calibri"/>
                <w:b w:val="false"/>
                <w:bCs w:val="false"/>
                <w:i w:val="false"/>
                <w:iCs w:val="false"/>
                <w:color w:val="1A1A1A"/>
                <w:sz w:val="16"/>
                <w:szCs w:val="16"/>
              </w:rPr>
              <w:t xml:space="preserve">Hydro PSPs only: if the 51% RE-charging test fails at project level, eligibility can be assessed contract-by-contract via NLDC-verified tagging of each contract's drawal/despatch schedule. Not extended to BESS (tagging complexity per EM).</w:t>
            </w:r>
          </w:p>
        </w:tc>
      </w:tr>
    </w:tbl>
    <w:p>
      <w:pPr>
        <w:spacing w:after="90"/>
      </w:pPr>
      <w:r>
        <w:rPr>
          <w:sz w:val="4"/>
          <w:szCs w:val="4"/>
        </w:rPr>
        <w:t xml:space="preserve"/>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5500"/>
        <w:gridCol w:w="5500"/>
      </w:tblGrid>
      <w:tr>
        <w:tc>
          <w:tcPr>
            <w:tcW w:type="dxa" w:w="5500"/>
            <w:tcBorders>
              <w:top w:val="none" w:color="FFFFFF" w:sz="0"/>
              <w:left w:val="none" w:color="FFFFFF" w:sz="0"/>
              <w:bottom w:val="none" w:color="FFFFFF" w:sz="0"/>
              <w:right w:val="none" w:color="FFFFFF" w:sz="0"/>
            </w:tcBorders>
            <w:shd w:fill="DCE9F7"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DELAYED-PROJECT WAIVER — TABLE 6 (NEW REG. 13(2)(H-I)/(H-II))</w:t>
            </w:r>
          </w:p>
          <w:p>
            <w:pPr>
              <w:spacing w:after="0"/>
            </w:pPr>
            <w:r>
              <w:rPr>
                <w:rFonts w:ascii="Calibri" w:cs="Calibri" w:eastAsia="Calibri" w:hAnsi="Calibri"/>
                <w:b w:val="false"/>
                <w:bCs w:val="false"/>
                <w:i w:val="false"/>
                <w:iCs w:val="false"/>
                <w:color w:val="1A1A1A"/>
                <w:sz w:val="16"/>
                <w:szCs w:val="16"/>
              </w:rPr>
              <w:t xml:space="preserve">Preserves a REGS/RHGS's waiver slab (by firm start date of Connectivity, on or before 30.06.2028) if COD is achieved within 2 months of GNA effectiveness — conditional on a firm contract (≥7-yr tenure) signed by 31.12.2026. Waiver period capped at contract tenure (not the usual 25 yrs). If eligible under both this and the standard Table 1, the project must choose within 15 days of COD — binding, non-reversible.</w:t>
            </w:r>
          </w:p>
        </w:tc>
        <w:tc>
          <w:tcPr>
            <w:tcW w:type="dxa" w:w="5500"/>
            <w:tcBorders>
              <w:top w:val="none" w:color="FFFFFF" w:sz="0"/>
              <w:left w:val="none" w:color="FFFFFF" w:sz="0"/>
              <w:bottom w:val="none" w:color="FFFFFF" w:sz="0"/>
              <w:right w:val="none" w:color="FFFFFF" w:sz="0"/>
            </w:tcBorders>
            <w:shd w:fill="EEF3FB"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TRANSMISSION DEVIATION — INTRA-STATE GNARE/T-GNARE (REG. 12(1)(B)/(C))</w:t>
            </w:r>
          </w:p>
          <w:p>
            <w:pPr>
              <w:spacing w:after="0"/>
            </w:pPr>
            <w:r>
              <w:rPr>
                <w:rFonts w:ascii="Calibri" w:cs="Calibri" w:eastAsia="Calibri" w:hAnsi="Calibri"/>
                <w:b w:val="false"/>
                <w:bCs w:val="false"/>
                <w:i w:val="false"/>
                <w:iCs w:val="false"/>
                <w:color w:val="1A1A1A"/>
                <w:sz w:val="16"/>
                <w:szCs w:val="16"/>
              </w:rPr>
              <w:t xml:space="preserve">A State's transmission deviation now nets off scheduled drawal under GNARE/T-GNARE by an intra-State entity holding it, closing a double-count flagged by Grid-India. Example: State GNA 5000 MW + entity GNARE schedule 300 MW; total drawal 5450 MW → deviation = 150 MW.</w:t>
            </w:r>
          </w:p>
        </w:tc>
      </w:tr>
    </w:tbl>
    <w:p>
      <w:pPr>
        <w:spacing w:after="90"/>
      </w:pPr>
      <w:r>
        <w:rPr>
          <w:sz w:val="4"/>
          <w:szCs w:val="4"/>
        </w:rPr>
        <w:t xml:space="preserve"/>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5500"/>
        <w:gridCol w:w="5500"/>
      </w:tblGrid>
      <w:tr>
        <w:tc>
          <w:tcPr>
            <w:tcW w:type="dxa" w:w="5500"/>
            <w:tcBorders>
              <w:top w:val="none" w:color="FFFFFF" w:sz="0"/>
              <w:left w:val="none" w:color="FFFFFF" w:sz="0"/>
              <w:bottom w:val="none" w:color="FFFFFF" w:sz="0"/>
              <w:right w:val="none" w:color="FFFFFF" w:sz="0"/>
            </w:tcBorders>
            <w:shd w:fill="EEF3FB"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DUAL CONNECTIVITY (STU+CTU) (REG. 12(1)(B))</w:t>
            </w:r>
          </w:p>
          <w:p>
            <w:pPr>
              <w:spacing w:after="0"/>
            </w:pPr>
            <w:r>
              <w:rPr>
                <w:rFonts w:ascii="Calibri" w:cs="Calibri" w:eastAsia="Calibri" w:hAnsi="Calibri"/>
                <w:b w:val="false"/>
                <w:bCs w:val="false"/>
                <w:i w:val="false"/>
                <w:iCs w:val="false"/>
                <w:color w:val="1A1A1A"/>
                <w:sz w:val="16"/>
                <w:szCs w:val="16"/>
              </w:rPr>
              <w:t xml:space="preserve">For drawee entities with dual ISTS+STU connectivity (pending the companion GNA 4th Amendment), the lower of actual/scheduled STU-routed drawal is added to net drawal (or subtracted from net injection) for the State, unless the interface meter shows the opposite flow, in which case it is treated as zero.</w:t>
            </w:r>
          </w:p>
        </w:tc>
        <w:tc>
          <w:tcPr>
            <w:tcW w:type="dxa" w:w="5500"/>
            <w:tcBorders>
              <w:top w:val="none" w:color="FFFFFF" w:sz="0"/>
              <w:left w:val="none" w:color="FFFFFF" w:sz="0"/>
              <w:bottom w:val="none" w:color="FFFFFF" w:sz="0"/>
              <w:right w:val="none" w:color="FFFFFF" w:sz="0"/>
            </w:tcBorders>
            <w:shd w:fill="DCE9F7" w:color="auto" w:val="clear"/>
            <w:tcMar>
              <w:top w:type="dxa" w:w="90"/>
              <w:left w:type="dxa" w:w="120"/>
              <w:bottom w:type="dxa" w:w="90"/>
              <w:right w:type="dxa" w:w="120"/>
            </w:tcMar>
            <w:vAlign w:val="top"/>
          </w:tcPr>
          <w:p>
            <w:pPr>
              <w:spacing w:after="40"/>
            </w:pPr>
            <w:r>
              <w:rPr>
                <w:rFonts w:ascii="Calibri" w:cs="Calibri" w:eastAsia="Calibri" w:hAnsi="Calibri"/>
                <w:b/>
                <w:bCs/>
                <w:color w:val="00318B"/>
                <w:sz w:val="15"/>
                <w:szCs w:val="15"/>
              </w:rPr>
              <w:t xml:space="preserve">OTHER HOUSEKEEPING CHANGES</w:t>
            </w:r>
          </w:p>
          <w:p>
            <w:pPr>
              <w:spacing w:after="0"/>
            </w:pPr>
            <w:r>
              <w:rPr>
                <w:rFonts w:ascii="Calibri" w:cs="Calibri" w:eastAsia="Calibri" w:hAnsi="Calibri"/>
                <w:b w:val="false"/>
                <w:bCs w:val="false"/>
                <w:i w:val="false"/>
                <w:iCs w:val="false"/>
                <w:color w:val="1A1A1A"/>
                <w:sz w:val="16"/>
                <w:szCs w:val="16"/>
              </w:rPr>
              <w:t xml:space="preserve">New Reg. 29 (suo moto orders/directions); new Reg. 23(5) (NLDC to publish revised procedures within 60 days of notification, post-consultation); Annexure-III GNARE/T-GNARE definitions realigned to GNA Regulations, redundant provisos deleted; new Reg. 2 definition for “REIA”; Reg. 12(1)(d) renumbered for Offshore Wind.</w:t>
            </w:r>
          </w:p>
        </w:tc>
      </w:tr>
    </w:tbl>
    <w:p>
      <w:pPr>
        <w:spacing w:after="60" w:before="160"/>
      </w:pPr>
      <w:r>
        <w:rPr>
          <w:rFonts w:ascii="Calibri" w:cs="Calibri" w:eastAsia="Calibri" w:hAnsi="Calibri"/>
          <w:b/>
          <w:bCs/>
          <w:color w:val="FF8200"/>
          <w:sz w:val="17"/>
          <w:szCs w:val="17"/>
        </w:rPr>
        <w:t xml:space="preserve">WHO SHOULD CONSIDER RESPONDING</w:t>
      </w:r>
    </w:p>
    <w:p>
      <w:pPr>
        <w:spacing w:after="40"/>
        <w:ind w:left="200" w:hanging="150"/>
      </w:pPr>
      <w:r>
        <w:rPr>
          <w:b/>
          <w:bCs/>
          <w:color w:val="FF8200"/>
          <w:sz w:val="16"/>
          <w:szCs w:val="16"/>
        </w:rPr>
        <w:t xml:space="preserve">•  </w:t>
      </w:r>
      <w:r>
        <w:rPr>
          <w:rFonts w:ascii="Calibri" w:cs="Calibri" w:eastAsia="Calibri" w:hAnsi="Calibri"/>
          <w:color w:val="1A1A1A"/>
          <w:sz w:val="16"/>
          <w:szCs w:val="16"/>
        </w:rPr>
        <w:t xml:space="preserve">REGS/RHGS developers with co-located storage — check Connectivity classification for the 25-year BESS route.</w:t>
      </w:r>
    </w:p>
    <w:p>
      <w:pPr>
        <w:spacing w:after="40"/>
        <w:ind w:left="200" w:hanging="150"/>
      </w:pPr>
      <w:r>
        <w:rPr>
          <w:b/>
          <w:bCs/>
          <w:color w:val="FF8200"/>
          <w:sz w:val="16"/>
          <w:szCs w:val="16"/>
        </w:rPr>
        <w:t xml:space="preserve">•  </w:t>
      </w:r>
      <w:r>
        <w:rPr>
          <w:rFonts w:ascii="Calibri" w:cs="Calibri" w:eastAsia="Calibri" w:hAnsi="Calibri"/>
          <w:color w:val="1A1A1A"/>
          <w:sz w:val="16"/>
          <w:szCs w:val="16"/>
        </w:rPr>
        <w:t xml:space="preserve">BESS/storage developers and operators — tenure and multi-cycle charging treatment directly affect project economics.</w:t>
      </w:r>
    </w:p>
    <w:p>
      <w:pPr>
        <w:spacing w:after="40"/>
        <w:ind w:left="200" w:hanging="150"/>
      </w:pPr>
      <w:r>
        <w:rPr>
          <w:b/>
          <w:bCs/>
          <w:color w:val="FF8200"/>
          <w:sz w:val="16"/>
          <w:szCs w:val="16"/>
        </w:rPr>
        <w:t xml:space="preserve">•  </w:t>
      </w:r>
      <w:r>
        <w:rPr>
          <w:rFonts w:ascii="Calibri" w:cs="Calibri" w:eastAsia="Calibri" w:hAnsi="Calibri"/>
          <w:color w:val="1A1A1A"/>
          <w:sz w:val="16"/>
          <w:szCs w:val="16"/>
        </w:rPr>
        <w:t xml:space="preserve">Hydro PSP developers — G-DAM eligibility and contract-wise 51% tagging are aimed squarely at PSP structuring.</w:t>
      </w:r>
    </w:p>
    <w:p>
      <w:pPr>
        <w:spacing w:after="40"/>
        <w:ind w:left="200" w:hanging="150"/>
      </w:pPr>
      <w:r>
        <w:rPr>
          <w:b/>
          <w:bCs/>
          <w:color w:val="FF8200"/>
          <w:sz w:val="16"/>
          <w:szCs w:val="16"/>
        </w:rPr>
        <w:t xml:space="preserve">•  </w:t>
      </w:r>
      <w:r>
        <w:rPr>
          <w:rFonts w:ascii="Calibri" w:cs="Calibri" w:eastAsia="Calibri" w:hAnsi="Calibri"/>
          <w:color w:val="1A1A1A"/>
          <w:sz w:val="16"/>
          <w:szCs w:val="16"/>
        </w:rPr>
        <w:t xml:space="preserve">RE developers delayed by transmission readiness — check the 31.12.2026 and firm-start-date cut-offs now.</w:t>
      </w:r>
    </w:p>
    <w:p>
      <w:pPr>
        <w:spacing w:after="40"/>
        <w:ind w:left="200" w:hanging="150"/>
      </w:pPr>
      <w:r>
        <w:rPr>
          <w:b/>
          <w:bCs/>
          <w:color w:val="FF8200"/>
          <w:sz w:val="16"/>
          <w:szCs w:val="16"/>
        </w:rPr>
        <w:t xml:space="preserve">•  </w:t>
      </w:r>
      <w:r>
        <w:rPr>
          <w:rFonts w:ascii="Calibri" w:cs="Calibri" w:eastAsia="Calibri" w:hAnsi="Calibri"/>
          <w:color w:val="1A1A1A"/>
          <w:sz w:val="16"/>
          <w:szCs w:val="16"/>
        </w:rPr>
        <w:t xml:space="preserve">DISCOMs, drawee entities, and States with intra-State GNARE/T-GNARE holders — billed deviation charges may change.</w:t>
      </w:r>
    </w:p>
    <w:p>
      <w:pPr>
        <w:spacing w:after="40"/>
        <w:ind w:left="200" w:hanging="150"/>
      </w:pPr>
      <w:r>
        <w:rPr>
          <w:b/>
          <w:bCs/>
          <w:color w:val="FF8200"/>
          <w:sz w:val="16"/>
          <w:szCs w:val="16"/>
        </w:rPr>
        <w:t xml:space="preserve">•  </w:t>
      </w:r>
      <w:r>
        <w:rPr>
          <w:rFonts w:ascii="Calibri" w:cs="Calibri" w:eastAsia="Calibri" w:hAnsi="Calibri"/>
          <w:color w:val="1A1A1A"/>
          <w:sz w:val="16"/>
          <w:szCs w:val="16"/>
        </w:rPr>
        <w:t xml:space="preserve">Large C&amp;I, data-centre, and green-hydrogen loads planning or pursuing dual STU+CTU connectivity under the GNA route.</w:t>
      </w:r>
    </w:p>
    <w:sectPr>
      <w:headerReference w:type="default" r:id="rId7"/>
      <w:footerReference w:type="default" r:id="rId8"/>
      <w:pgSz w:w="12240" w:h="15840" w:orient="portrait"/>
      <w:pgMar w:top="520" w:right="560" w:bottom="520" w:left="5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pPr>
    <w:r>
      <w:rPr>
        <w:rFonts w:ascii="Calibri" w:cs="Calibri" w:eastAsia="Calibri" w:hAnsi="Calibri"/>
        <w:i/>
        <w:iCs/>
        <w:color w:val="5A6472"/>
        <w:sz w:val="12"/>
        <w:szCs w:val="12"/>
      </w:rPr>
      <w:t xml:space="preserve">Compiled from 4 source documents: Public Notice (31.07.2026), Extension Notice (03.09.2026), Draft Notification, Explanatory Memorandum — No. L-1/250/2019/CERC. For authoritative wording, refer to the original CERC notification(s).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pPr>
    <w:r>
      <w:rPr>
        <w:rFonts w:ascii="Calibri" w:cs="Calibri" w:eastAsia="Calibri" w:hAnsi="Calibri"/>
        <w:b/>
        <w:bCs/>
        <w:color w:val="5A6472"/>
        <w:sz w:val="14"/>
        <w:szCs w:val="14"/>
      </w:rPr>
      <w:t xml:space="preserve">CENTRAL ELECTRICITY REGULATORY COMMISSION  —  REGULATORY ONE-PAGER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2026-09-05T16:04:47.083Z</dcterms:created>
  <dcterms:modified xsi:type="dcterms:W3CDTF">2026-09-05T16:04:47.084Z</dcterms:modified>
</cp:coreProperties>
</file>

<file path=docProps/custom.xml><?xml version="1.0" encoding="utf-8"?>
<Properties xmlns="http://schemas.openxmlformats.org/officeDocument/2006/custom-properties" xmlns:vt="http://schemas.openxmlformats.org/officeDocument/2006/docPropsVTypes"/>
</file>